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58</w:t>
      </w:r>
    </w:p>
    <w:p>
      <w:r>
        <w:t>Bundesgericht (BGE), 1970-06-04, FR</w:t>
      </w:r>
    </w:p>
    <w:p>
      <w:r>
        <w:rPr>
          <w:b/>
        </w:rPr>
        <w:t xml:space="preserve">Quelle: </w:t>
      </w:r>
      <w:r>
        <w:t>https://mcp.opencaselaw.ch/entscheid/bge_96 V 58</w:t>
      </w:r>
    </w:p>
    <w:p>
      <w:r>
        <w:t>FR: ATF 96 V 58</w:t>
      </w:r>
    </w:p>
    <w:p>
      <w:r>
        <w:t>IT: DTF 96 V 58</w:t>
      </w:r>
    </w:p>
    <w:p>
      <w:pPr>
        <w:pStyle w:val="Heading2"/>
      </w:pPr>
      <w:r>
        <w:t>Regeste</w:t>
      </w:r>
    </w:p>
    <w:p>
      <w:r>
        <w:t>Regeste Art. 4, 8 und 9 AHVG und Art. 22 ff. AHVV. Der Preis für "Goodwill", der nach der Übergabe eines Geschäftes in Teilzahlungen zu entrichten ist, unterliegt der persönlichen Beitragspflicht. Festsetzung dieser Beiträge.</w:t>
      </w:r>
    </w:p>
    <w:p>
      <w:pPr>
        <w:pStyle w:val="Heading2"/>
      </w:pPr>
      <w:r>
        <w:t>Erwägungen</w:t>
      </w:r>
    </w:p>
    <w:p>
      <w:r>
        <w:rPr>
          <w:b/>
        </w:rPr>
        <w:t>E. 1</w:t>
      </w:r>
    </w:p>
    <w:p>
      <w:r>
        <w:t>Pour évaluer une entreprise, il ne suffit pas d'additionner la valeur des biens matériels (marchandises, machines, espèces, créances, etc.) qui lui appartiennent. Il faut aussi, dans bien des cas, tenir compte de biens immatériels, tels que la raison de commerce, la réputation, la clientèle, les relations d'affaires, les fournisseurs, les méthodes de travail et peut-être le fait même d'exister, d'être organisé et de fonctionner depuis un certain temps. Ces biens immatériels, qu'on désigne communément du terme anglais de "good will", résultent de l'activité lucrative du chef d'entreprise, au même titre que l'accroissement de la valeur des biens matériels. Ils sont réalisables lors de la vente de l'entreprise; il s'agit alors de savoir s'ils constituent un revenu sur lequel sont dues les cotisations AVS/AI/APG, c'est-à-dire s'ils font partie du "revenu provenant de l'exercice de toute activité dépendante et indépendante", selon l'art. 4 LAVS.</w:t>
      </w:r>
    </w:p>
    <w:p>
      <w:r>
        <w:rPr>
          <w:b/>
        </w:rPr>
        <w:t>E. 2</w:t>
      </w:r>
    </w:p>
    <w:p>
      <w:r>
        <w:t>D'après l'art. 17 lettre d RAVS, sont réputées revenu provenant d'une activité indépendante, au sens de l'art. 9 al. 1er LAVS, "les augmentations de valeur et les bénéfices en capital obtenus et portés en compte par des entreprises astreintes à tenir des livres". Le Tribunal fédéral des assurances a déclaré conforme à la loi cette disposition du règlement (ATFA 1949 p. 166). Il l'a confirmé implicitement dans l'arrêt RCC 1950 p. 249, en insistant sur le fait que la règle ne concernait que la fortune commerciale et qu'elle ne saurait être étendue à l'augmentation de la fortune privée de l'assuré (cf. cependant ATFA 1965 p. 67). Par la suite, la jurisprudence s'est surtout préoccupée, lorsqu'il s'est agi d'appliquer l'art. 17 lettre d RAVS, de distinguer entre fortune commerciale et fortune privée. BGE 96 V 58 S. 61 En l'occurrence, le "good will" que la société R. M. SA doit payer à R. M. provient d'une augmentation de la fortune commerciale de ce dernier. D'autre part, R. M. était astreint à tenir des livres, lorsqu'il exploitait individuellement l'entreprise. Cependant, le chiffre 84 des directives de l'Office fédéral des assurances sociales sur les cotisations des travailleurs indépendants et des non-actifs s'exprime en ces termes: "Les bénéfices en capital soumis à l'impôt annuel prévu par l'art. 43 AIN si l'assujettissement à l'impôt sur le revenu cesse ou s'il est procédé à une taxation intermédiaire (art. 96 AIN) ne font pas partie du revenu de l'activité indépendante, faute d'une disposition légale permettant de les assujettir." Ces conditions sont précisément réalisées en l'espèce. Mais les directives susmentionnées ne sont pas conformes à la loi. En effet, la Cour plénière, saisie de la question, a déclaré qu'un "good will" payable par acomptes après remise d'un commerce est soumis à cotisations personnelles, ces dernières devant être acquittées en une fois, sur la valeur totale du "good will", sans aucune déduction. Car le "good will" constitue le revenu d'une activité lucrative indépendante (cf. p.ex. Blumenstein, "System des Steuerrechts", vol. 1, 1951, pp. 112-113). Et ce revenu est soumis à cotisations en vertu des art. 4, 8 et 9 de la LAVS, qui ne présente pas de lacune sur ce point. Il le serait même si le RAVS ne contenait aucune disposition sur ce sujet. La circonstance que la communication de l'administration de l'impôt ne mentionne pas un tel revenu ne saurait être déterminante puisque, selon la jurisprudence, le juge des assurances n'est pas lié par la taxation fiscale dans une semblable hypothèse. Au demeurant, le RAVS règle les diverses situations possibles, cela de la façon suivante: a) s'il y a lieu d'appliquer l'art. 25 al. 1er RAVS, le "good will" doit être inclus dans le revenu, déterminé selon la procédure extraordinaire, en vertu des art. 4 et 8 LAVS; b) s'il n'y a pas lieu d'appliquer l'art. 25 al. 1er RAVS, ou bien: ba) l'assuré continue à exercer une activité lucrative indépendante; il faut recourir alors à l'art. 23 al. 3 RAVS, la taxation fiscale suivant l'art. 43 AIN constituant une taxation intermédiaire "sui generis" (on pourrait peut-être appliquer l'art. 22 al. 3 RAVS, le cas échéant); ou bien: BGE 96 V 58 S. 62 bb) l'assuré n'a plus d'activité indépendante principale; il faut alors appliquer l'art. 22 al. 3 RAVS, dans la mesure tout au moins où l'on peut admettre l'existence d'une activité lucrative. En outre le montant soumis à cotisations est celui du "good will" dans son entier. S'agissant d'aliénation de la source de gain, on ne saurait dire qu'il existe encore un capital propre, autrefois investi et maintenant aliéné, au moment où le "good will" devient réalisable. Il n'y a donc pas lieu de déduire un intérêt. Enfin, la totalité du "good will" doit être soumise à cotisations au moment de son apparition, soit lorsque la remise de l'entreprise ou du commerce a eu lieu. Peu importent les modalités de paiement arrêtées par les parties en présence, modalités qui pourraient conduire dans certains cas à éluder l'obligation légale d'acquitter les cotisations. On tiendra compte de ces modalités en taxant le "good will" à la valeur qu'il représente le lendemain de la remise.</w:t>
      </w:r>
    </w:p>
    <w:p>
      <w:r>
        <w:rPr>
          <w:b/>
        </w:rPr>
        <w:t>E. 3</w:t>
      </w:r>
    </w:p>
    <w:p>
      <w:r>
        <w:t>En l'espèce, il faut admettre que R. M., devenu l'employé de R. M. SA, n'a plus d'activité indépendante principale; en revanche, en tant que vendeur et liquidateur de sa propre entreprise, il avait, au moment où a eu lieu la remise et où le "good will" est apparu, une activité indépendante accessoire justifiant l'application de l'art. 22 al. 3 RAVS. Peu importe à cet égard la circonstance que d'autres éléments, la conjoncture par exemple, jouent également un rôle quant à la fixation du prix du "good will". Il faut donc renvoyer la cause à la caisse de compensation, pour qu'elle rende une nouvelle décision, conformément aux principes exposés au considérant 2. La caisse fixera les cotisations personnelles AVS/AI/APG dues pour 1967 sur la totalité du "good will", à la valeur qu'il représentait le lendemain de la remise. Le tribunal de céans ne voit pas de motif impérieux de préciser d'ores et déjà le taux d'escompte applicable en l'occurrence. Tout au plus peut-on mentionner ici que le taux de capitalisation de 3 1/2% fixé par le Tribunal fédéral des assurances dans l'arrêt ATFA 1946 p. 131 est manifestement dépassé aujourd'hui. Reste en outre réservé l'examen de la question soulevée par l'Office fédéral des assurances sociales dans sa détermination du 27 février 1970 (transfert d'un immeuble commercial au patrimoine privé du recourant). BGE 96 V 58 S. 63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